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B0" w:rsidRPr="0020015B" w:rsidRDefault="00612DE7" w:rsidP="004861B0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15B">
        <w:rPr>
          <w:rFonts w:ascii="Times New Roman" w:hAnsi="Times New Roman" w:cs="Times New Roman"/>
          <w:sz w:val="36"/>
          <w:szCs w:val="36"/>
        </w:rPr>
        <w:t>ИНЖЕКТОР</w:t>
      </w:r>
    </w:p>
    <w:p w:rsidR="0020015B" w:rsidRDefault="0020015B" w:rsidP="00200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5B" w:rsidRDefault="0020015B" w:rsidP="00200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15B">
        <w:rPr>
          <w:rFonts w:ascii="Times New Roman" w:hAnsi="Times New Roman" w:cs="Times New Roman"/>
          <w:sz w:val="28"/>
          <w:szCs w:val="28"/>
        </w:rPr>
        <w:t xml:space="preserve">дозиращо устройство </w:t>
      </w:r>
    </w:p>
    <w:p w:rsidR="0020015B" w:rsidRPr="0020015B" w:rsidRDefault="0020015B" w:rsidP="00200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15B">
        <w:rPr>
          <w:rFonts w:ascii="Times New Roman" w:hAnsi="Times New Roman" w:cs="Times New Roman"/>
          <w:sz w:val="28"/>
          <w:szCs w:val="28"/>
        </w:rPr>
        <w:t>за маркиране на течности, различни от вода</w:t>
      </w:r>
    </w:p>
    <w:p w:rsidR="0020015B" w:rsidRPr="0020015B" w:rsidRDefault="0020015B" w:rsidP="004861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1B0" w:rsidRDefault="0020015B" w:rsidP="00486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4139" cy="7082154"/>
            <wp:effectExtent l="0" t="0" r="952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INJECTOR_NIK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745" cy="70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D5" w:rsidRDefault="009B45D5" w:rsidP="00612DE7">
      <w:pPr>
        <w:ind w:firstLine="708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9B45D5" w:rsidRPr="009B45D5" w:rsidRDefault="009B45D5" w:rsidP="009B45D5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Съгласно Закона за акцизите и данъчните складове, енергийни продукти</w:t>
      </w:r>
      <w:r w:rsidR="00FF56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 предназначени за употреба като гориво за отопление или корабно гориво, са с намалена акцизна ставка. Тези енергийни продукти се маркират, т.е. оцветяват се в определен цвят – син или червен, в зависимост от предназначението им за употреба. </w:t>
      </w:r>
    </w:p>
    <w:p w:rsidR="00824D2B" w:rsidRDefault="00991B26" w:rsidP="00991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Инжекторът е дозиращо устройство, чиято функция е да шприцва точно определено количество маркираща боя ( пигмент ) в течности, различни от вода, за да ги оцвети. Дозирането става на бутален принцип – т.нар. “ обемно дозиране ”. Фирмата е р</w:t>
      </w:r>
      <w:r w:rsidRPr="002F68F1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 xml:space="preserve">ила </w:t>
      </w:r>
      <w:r w:rsidRPr="002F68F1">
        <w:rPr>
          <w:rFonts w:ascii="Times New Roman" w:hAnsi="Times New Roman" w:cs="Times New Roman"/>
          <w:sz w:val="24"/>
          <w:szCs w:val="24"/>
        </w:rPr>
        <w:t xml:space="preserve">софтуер за </w:t>
      </w:r>
      <w:r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Pr="002F68F1">
        <w:rPr>
          <w:rFonts w:ascii="Times New Roman" w:hAnsi="Times New Roman" w:cs="Times New Roman"/>
          <w:sz w:val="24"/>
          <w:szCs w:val="24"/>
        </w:rPr>
        <w:t xml:space="preserve">инжекторна система за маркиране на </w:t>
      </w:r>
      <w:r>
        <w:rPr>
          <w:rFonts w:ascii="Times New Roman" w:hAnsi="Times New Roman" w:cs="Times New Roman"/>
          <w:sz w:val="24"/>
          <w:szCs w:val="24"/>
        </w:rPr>
        <w:t>енергийни продукти.</w:t>
      </w:r>
      <w:r w:rsidRPr="002F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РС се задава обем гориво, което трябва да премине през разходомера. Електронен брояч пресмята какво количество пигмент трябва да се инжектира и на какъв работен цикъл.</w:t>
      </w:r>
    </w:p>
    <w:p w:rsidR="00824D2B" w:rsidRDefault="00824D2B" w:rsidP="00991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2F" w:rsidRDefault="00FF562F" w:rsidP="00824D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0DD308D" wp14:editId="709C8044">
            <wp:simplePos x="0" y="0"/>
            <wp:positionH relativeFrom="margin">
              <wp:align>left</wp:align>
            </wp:positionH>
            <wp:positionV relativeFrom="page">
              <wp:posOffset>3971290</wp:posOffset>
            </wp:positionV>
            <wp:extent cx="4001135" cy="3561715"/>
            <wp:effectExtent l="0" t="8890" r="9525" b="9525"/>
            <wp:wrapTight wrapText="bothSides">
              <wp:wrapPolygon edited="0">
                <wp:start x="21648" y="54"/>
                <wp:lineTo x="51" y="54"/>
                <wp:lineTo x="51" y="21542"/>
                <wp:lineTo x="21648" y="21542"/>
                <wp:lineTo x="21648" y="5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INJECTO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113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B26">
        <w:rPr>
          <w:rFonts w:ascii="Times New Roman" w:hAnsi="Times New Roman" w:cs="Times New Roman"/>
          <w:sz w:val="24"/>
          <w:szCs w:val="24"/>
        </w:rPr>
        <w:t xml:space="preserve"> </w:t>
      </w:r>
      <w:r w:rsidR="00824D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562F" w:rsidRDefault="00FF562F" w:rsidP="00824D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26616" w:rsidRDefault="00FF562F" w:rsidP="00FF562F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616">
        <w:rPr>
          <w:rFonts w:ascii="Times New Roman" w:hAnsi="Times New Roman" w:cs="Times New Roman"/>
          <w:sz w:val="24"/>
          <w:szCs w:val="24"/>
        </w:rPr>
        <w:t>Инжекторът е изграден от:</w:t>
      </w:r>
    </w:p>
    <w:p w:rsidR="00426616" w:rsidRDefault="00426616" w:rsidP="00824D2B">
      <w:pPr>
        <w:pStyle w:val="ListParagraph"/>
        <w:ind w:left="1770"/>
        <w:rPr>
          <w:rFonts w:ascii="Times New Roman" w:hAnsi="Times New Roman" w:cs="Times New Roman"/>
          <w:sz w:val="24"/>
          <w:szCs w:val="24"/>
        </w:rPr>
      </w:pPr>
      <w:r w:rsidRPr="00426616">
        <w:rPr>
          <w:rFonts w:ascii="Times New Roman" w:hAnsi="Times New Roman" w:cs="Times New Roman"/>
          <w:sz w:val="24"/>
          <w:szCs w:val="24"/>
        </w:rPr>
        <w:t xml:space="preserve">Пневматичен цилиндър – 1 </w:t>
      </w:r>
      <w:r>
        <w:rPr>
          <w:rFonts w:ascii="Times New Roman" w:hAnsi="Times New Roman" w:cs="Times New Roman"/>
          <w:sz w:val="24"/>
          <w:szCs w:val="24"/>
        </w:rPr>
        <w:t>бр.</w:t>
      </w:r>
    </w:p>
    <w:p w:rsidR="00426616" w:rsidRDefault="00426616" w:rsidP="00824D2B">
      <w:pPr>
        <w:pStyle w:val="ListParagraph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Дозиращи цилиндри – 2 бр.</w:t>
      </w:r>
    </w:p>
    <w:p w:rsidR="00426616" w:rsidRDefault="00426616" w:rsidP="00824D2B">
      <w:pPr>
        <w:pStyle w:val="ListParagraph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Пневматични клапани – 4 бр.</w:t>
      </w:r>
    </w:p>
    <w:p w:rsidR="00426616" w:rsidRDefault="00426616" w:rsidP="00824D2B">
      <w:pPr>
        <w:pStyle w:val="ListParagraph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Пневматичен разпределителен клапан – 1 бр.</w:t>
      </w:r>
    </w:p>
    <w:p w:rsidR="00824D2B" w:rsidRDefault="00824D2B" w:rsidP="008F0E17">
      <w:pPr>
        <w:rPr>
          <w:rFonts w:ascii="Times New Roman" w:hAnsi="Times New Roman" w:cs="Times New Roman"/>
          <w:sz w:val="24"/>
          <w:szCs w:val="24"/>
        </w:rPr>
      </w:pPr>
    </w:p>
    <w:p w:rsidR="00991B26" w:rsidRPr="008F0E17" w:rsidRDefault="00991B26" w:rsidP="008F0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8F1">
        <w:rPr>
          <w:rFonts w:ascii="Times New Roman" w:hAnsi="Times New Roman" w:cs="Times New Roman"/>
          <w:sz w:val="24"/>
          <w:szCs w:val="24"/>
        </w:rPr>
        <w:t xml:space="preserve">Конфигурацията </w:t>
      </w:r>
      <w:r>
        <w:rPr>
          <w:rFonts w:ascii="Times New Roman" w:hAnsi="Times New Roman" w:cs="Times New Roman"/>
          <w:sz w:val="24"/>
          <w:szCs w:val="24"/>
        </w:rPr>
        <w:t xml:space="preserve">от РС и електронен брояч, свързан с </w:t>
      </w:r>
      <w:r w:rsidR="008F0E17">
        <w:rPr>
          <w:rFonts w:ascii="Times New Roman" w:hAnsi="Times New Roman" w:cs="Times New Roman"/>
          <w:sz w:val="24"/>
          <w:szCs w:val="24"/>
        </w:rPr>
        <w:t xml:space="preserve">обемен </w:t>
      </w:r>
      <w:r>
        <w:rPr>
          <w:rFonts w:ascii="Times New Roman" w:hAnsi="Times New Roman" w:cs="Times New Roman"/>
          <w:sz w:val="24"/>
          <w:szCs w:val="24"/>
        </w:rPr>
        <w:t xml:space="preserve">разходомер, </w:t>
      </w:r>
      <w:r w:rsidRPr="002F68F1">
        <w:rPr>
          <w:rFonts w:ascii="Times New Roman" w:hAnsi="Times New Roman" w:cs="Times New Roman"/>
          <w:sz w:val="24"/>
          <w:szCs w:val="24"/>
        </w:rPr>
        <w:t>управлява чети</w:t>
      </w:r>
      <w:r w:rsidR="008F0E17">
        <w:rPr>
          <w:rFonts w:ascii="Times New Roman" w:hAnsi="Times New Roman" w:cs="Times New Roman"/>
          <w:sz w:val="24"/>
          <w:szCs w:val="24"/>
        </w:rPr>
        <w:t xml:space="preserve">ри магнитвентила и обслужва   </w:t>
      </w:r>
      <w:r w:rsidRPr="002F68F1">
        <w:rPr>
          <w:rFonts w:ascii="Times New Roman" w:hAnsi="Times New Roman" w:cs="Times New Roman"/>
          <w:sz w:val="24"/>
          <w:szCs w:val="24"/>
        </w:rPr>
        <w:t>едновременно</w:t>
      </w:r>
      <w:r w:rsidR="008F0E17">
        <w:rPr>
          <w:rFonts w:ascii="Times New Roman" w:hAnsi="Times New Roman" w:cs="Times New Roman"/>
          <w:sz w:val="24"/>
          <w:szCs w:val="24"/>
        </w:rPr>
        <w:t xml:space="preserve"> два инжектора</w:t>
      </w:r>
      <w:r w:rsidRPr="002F68F1">
        <w:rPr>
          <w:rFonts w:ascii="Times New Roman" w:hAnsi="Times New Roman" w:cs="Times New Roman"/>
          <w:sz w:val="24"/>
          <w:szCs w:val="24"/>
        </w:rPr>
        <w:t xml:space="preserve"> – маркиране на синьо и червено гориво.</w:t>
      </w:r>
    </w:p>
    <w:p w:rsidR="00991B26" w:rsidRDefault="00991B26" w:rsidP="00991B26">
      <w:pPr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991B26" w:rsidRDefault="00991B26" w:rsidP="00F9218B">
      <w:pPr>
        <w:ind w:left="70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F0E17" w:rsidRDefault="008F0E17" w:rsidP="008F0E17">
      <w:pPr>
        <w:ind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</w:pPr>
    </w:p>
    <w:p w:rsidR="008F0E17" w:rsidRDefault="008F0E17" w:rsidP="008F0E17">
      <w:pPr>
        <w:ind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</w:pPr>
    </w:p>
    <w:p w:rsidR="008F0E17" w:rsidRDefault="008F0E17" w:rsidP="008F0E17">
      <w:pPr>
        <w:ind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</w:pPr>
    </w:p>
    <w:p w:rsidR="00FF562F" w:rsidRDefault="00FF562F" w:rsidP="008F0E17">
      <w:pPr>
        <w:ind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</w:pPr>
    </w:p>
    <w:p w:rsidR="008F0E17" w:rsidRPr="008F0E17" w:rsidRDefault="008F0E17" w:rsidP="008F0E17">
      <w:pPr>
        <w:ind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</w:pPr>
      <w:r w:rsidRPr="008F0E1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  <w:t>Производител: Ами Стар ООД</w:t>
      </w:r>
    </w:p>
    <w:p w:rsidR="008F0E17" w:rsidRPr="008F0E17" w:rsidRDefault="008F0E17" w:rsidP="008F0E17">
      <w:pPr>
        <w:ind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</w:pPr>
      <w:r w:rsidRPr="008F0E1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  <w:t>България, гр. Русе, бул. Цар Освободител № 84</w:t>
      </w:r>
    </w:p>
    <w:p w:rsidR="00612DE7" w:rsidRPr="00FF562F" w:rsidRDefault="008F0E17" w:rsidP="00FF562F">
      <w:pPr>
        <w:ind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  <w:lang w:val="en-US"/>
        </w:rPr>
      </w:pPr>
      <w:r w:rsidRPr="008F0E1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EFEFE"/>
        </w:rPr>
        <w:t xml:space="preserve">+359 888 332 287, +359 887 922 240, </w:t>
      </w:r>
      <w:bookmarkStart w:id="0" w:name="_GoBack"/>
      <w:bookmarkEnd w:id="0"/>
      <w:r w:rsidR="00C131FB">
        <w:rPr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fldChar w:fldCharType="begin"/>
      </w:r>
      <w:r w:rsidR="00C131FB">
        <w:rPr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instrText xml:space="preserve"> HYPERLINK "http://</w:instrText>
      </w:r>
      <w:r w:rsidR="00C131FB" w:rsidRPr="00C131FB">
        <w:rPr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instrText>www.ami</w:instrText>
      </w:r>
      <w:r w:rsidR="00C131FB" w:rsidRPr="00C131FB">
        <w:rPr>
          <w:rFonts w:ascii="Times New Roman" w:hAnsi="Times New Roman" w:cs="Times New Roman"/>
          <w:sz w:val="20"/>
          <w:szCs w:val="20"/>
          <w:shd w:val="clear" w:color="auto" w:fill="FEFEFE"/>
        </w:rPr>
        <w:instrText>-</w:instrText>
      </w:r>
      <w:r w:rsidR="00C131FB" w:rsidRPr="00C131FB">
        <w:rPr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instrText>star.</w:instrText>
      </w:r>
      <w:r w:rsidR="00C131FB">
        <w:rPr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instrText xml:space="preserve">" </w:instrText>
      </w:r>
      <w:r w:rsidR="00C131FB">
        <w:rPr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fldChar w:fldCharType="separate"/>
      </w:r>
      <w:r w:rsidR="00C131FB" w:rsidRPr="00572291">
        <w:rPr>
          <w:rStyle w:val="Hyperlink"/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t>www.ami</w:t>
      </w:r>
      <w:r w:rsidR="00C131FB" w:rsidRPr="00572291">
        <w:rPr>
          <w:rStyle w:val="Hyperlink"/>
          <w:rFonts w:ascii="Times New Roman" w:hAnsi="Times New Roman" w:cs="Times New Roman"/>
          <w:sz w:val="20"/>
          <w:szCs w:val="20"/>
          <w:shd w:val="clear" w:color="auto" w:fill="FEFEFE"/>
        </w:rPr>
        <w:t>-</w:t>
      </w:r>
      <w:r w:rsidR="00C131FB" w:rsidRPr="00572291">
        <w:rPr>
          <w:rStyle w:val="Hyperlink"/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t>star.</w:t>
      </w:r>
      <w:r w:rsidR="00C131FB">
        <w:rPr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fldChar w:fldCharType="end"/>
      </w:r>
      <w:r w:rsidR="00C13E6A">
        <w:rPr>
          <w:rStyle w:val="Hyperlink"/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t>com</w:t>
      </w:r>
    </w:p>
    <w:sectPr w:rsidR="00612DE7" w:rsidRPr="00FF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31FE"/>
    <w:multiLevelType w:val="hybridMultilevel"/>
    <w:tmpl w:val="F056C3AC"/>
    <w:lvl w:ilvl="0" w:tplc="0402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4E901D5"/>
    <w:multiLevelType w:val="hybridMultilevel"/>
    <w:tmpl w:val="68E8F128"/>
    <w:lvl w:ilvl="0" w:tplc="36F819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71B17AF"/>
    <w:multiLevelType w:val="hybridMultilevel"/>
    <w:tmpl w:val="A4D2B9F4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B0"/>
    <w:rsid w:val="00067DF5"/>
    <w:rsid w:val="001613ED"/>
    <w:rsid w:val="0020015B"/>
    <w:rsid w:val="002F68F1"/>
    <w:rsid w:val="00337C05"/>
    <w:rsid w:val="00426616"/>
    <w:rsid w:val="00430665"/>
    <w:rsid w:val="004861B0"/>
    <w:rsid w:val="004A27E8"/>
    <w:rsid w:val="00565FDA"/>
    <w:rsid w:val="00612DE7"/>
    <w:rsid w:val="007051A1"/>
    <w:rsid w:val="00723560"/>
    <w:rsid w:val="007B2621"/>
    <w:rsid w:val="008137D7"/>
    <w:rsid w:val="00824D2B"/>
    <w:rsid w:val="008F0E17"/>
    <w:rsid w:val="00991B26"/>
    <w:rsid w:val="009B45D5"/>
    <w:rsid w:val="00C02394"/>
    <w:rsid w:val="00C131FB"/>
    <w:rsid w:val="00C13E6A"/>
    <w:rsid w:val="00DD545F"/>
    <w:rsid w:val="00EA5267"/>
    <w:rsid w:val="00F9218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85C43"/>
  <w15:chartTrackingRefBased/>
  <w15:docId w15:val="{A771F5FE-C522-4D5D-83EA-4136BFC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2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A27E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8F0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E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2017-08-17T04:40:00Z</dcterms:created>
  <dcterms:modified xsi:type="dcterms:W3CDTF">2018-03-08T11:18:00Z</dcterms:modified>
</cp:coreProperties>
</file>